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1"/>
        <w:shd w:val="clear" w:color="auto" w:fill="auto"/>
        <w:spacing w:before="0" w:after="207"/>
        <w:jc w:val="center"/>
        <w:rPr/>
      </w:pPr>
      <w:r>
        <w:rPr/>
      </w:r>
    </w:p>
    <w:p>
      <w:pPr>
        <w:pStyle w:val="Bodytext21"/>
        <w:shd w:val="clear" w:color="auto" w:fill="auto"/>
        <w:spacing w:before="0" w:after="0"/>
        <w:ind w:left="180" w:firstLine="460"/>
        <w:rPr/>
      </w:pPr>
      <w:r>
        <w:rPr/>
        <w:t>Предпринимателям малого и среднего бизнеса можно получить микрозайм</w:t>
      </w:r>
    </w:p>
    <w:p>
      <w:pPr>
        <w:pStyle w:val="Bodytext21"/>
        <w:shd w:val="clear" w:color="auto" w:fill="auto"/>
        <w:spacing w:before="0" w:after="0"/>
        <w:ind w:left="180" w:firstLine="460"/>
        <w:rPr/>
      </w:pPr>
      <w:r>
        <w:rPr/>
      </w:r>
    </w:p>
    <w:p>
      <w:pPr>
        <w:pStyle w:val="Bodytext21"/>
        <w:shd w:val="clear" w:color="auto" w:fill="auto"/>
        <w:spacing w:before="0" w:after="0"/>
        <w:ind w:left="180" w:firstLine="460"/>
        <w:rPr>
          <w:sz w:val="19"/>
          <w:szCs w:val="19"/>
        </w:rPr>
      </w:pPr>
      <w:r>
        <w:rPr>
          <w:sz w:val="19"/>
          <w:szCs w:val="19"/>
        </w:rPr>
        <w:t>В рамках реализации региональной составляющей «Расширение доступа субъектам МСП к финансовой поддержке, в том числе к льготному финансированию» национального проекта «Малое и среднее предпринимательство и поддержка индивидуальной предпринимательской инициативы» Министерство экономического. развития Тверской области (далее Министерство), сообщает следующую информацию о ключевых направлениях по финансово-кредитным видам поддержки субъектов малого и среднего предпринимательства (далее — субъекты МСП).</w:t>
      </w:r>
    </w:p>
    <w:p>
      <w:pPr>
        <w:pStyle w:val="Bodytext21"/>
        <w:shd w:val="clear" w:color="auto" w:fill="auto"/>
        <w:spacing w:before="0" w:after="0"/>
        <w:ind w:left="180" w:firstLine="460"/>
        <w:rPr>
          <w:sz w:val="19"/>
          <w:szCs w:val="19"/>
        </w:rPr>
      </w:pPr>
      <w:r>
        <w:rPr>
          <w:sz w:val="19"/>
          <w:szCs w:val="19"/>
        </w:rPr>
        <w:t>1. Предоставление микрозаймов и поручительств на льготных условиях Фондом, содействия кредитованию малого и среднего предпринимательства Тверской области (далее Фонд)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Федерации»:</w:t>
      </w:r>
    </w:p>
    <w:p>
      <w:pPr>
        <w:pStyle w:val="Bodytext21"/>
        <w:shd w:val="clear" w:color="auto" w:fill="auto"/>
        <w:tabs>
          <w:tab w:val="left" w:pos="912" w:leader="none"/>
        </w:tabs>
        <w:spacing w:before="0" w:after="0"/>
        <w:ind w:left="284" w:firstLine="460"/>
        <w:rPr>
          <w:sz w:val="19"/>
          <w:szCs w:val="19"/>
        </w:rPr>
      </w:pPr>
      <w:r>
        <w:rPr>
          <w:sz w:val="19"/>
          <w:szCs w:val="19"/>
        </w:rPr>
        <w:t xml:space="preserve">1) предоставление микрозаймов на льготных условиях. </w:t>
      </w:r>
    </w:p>
    <w:p>
      <w:pPr>
        <w:pStyle w:val="Bodytext21"/>
        <w:shd w:val="clear" w:color="auto" w:fill="auto"/>
        <w:spacing w:before="0" w:after="0"/>
        <w:ind w:left="284" w:firstLine="460"/>
        <w:rPr>
          <w:sz w:val="19"/>
          <w:szCs w:val="19"/>
        </w:rPr>
      </w:pPr>
      <w:r>
        <w:rPr>
          <w:sz w:val="19"/>
          <w:szCs w:val="19"/>
        </w:rPr>
        <w:t>Цели предоставления займа — приобретение основных средств, иные цели инвестиционного характера, пополнение оборотных средств.</w:t>
      </w:r>
    </w:p>
    <w:p>
      <w:pPr>
        <w:pStyle w:val="Bodytext21"/>
        <w:shd w:val="clear" w:color="auto" w:fill="auto"/>
        <w:tabs>
          <w:tab w:val="left" w:pos="5019" w:leader="dot"/>
          <w:tab w:val="left" w:pos="5163" w:leader="dot"/>
        </w:tabs>
        <w:spacing w:before="0" w:after="0"/>
        <w:ind w:left="284" w:firstLine="460"/>
        <w:rPr>
          <w:sz w:val="19"/>
          <w:szCs w:val="19"/>
        </w:rPr>
      </w:pPr>
      <w:r>
        <w:rPr>
          <w:sz w:val="19"/>
          <w:szCs w:val="19"/>
        </w:rPr>
        <w:t>Максимальная сумма займа составляет 5 млн. рублей.</w:t>
      </w:r>
    </w:p>
    <w:p>
      <w:pPr>
        <w:pStyle w:val="Bodytext21"/>
        <w:shd w:val="clear" w:color="auto" w:fill="auto"/>
        <w:spacing w:before="0" w:after="0"/>
        <w:ind w:left="284" w:firstLine="460"/>
        <w:rPr>
          <w:sz w:val="19"/>
          <w:szCs w:val="19"/>
        </w:rPr>
      </w:pPr>
      <w:r>
        <w:rPr>
          <w:sz w:val="19"/>
          <w:szCs w:val="19"/>
        </w:rPr>
        <w:t>Ставки по займам составляют от 6% до 7,5 % годовых (для субъектов МСП в зависимости от вида экономической Деятельности), 4 % годовых (для вновь зарегистрированных субъектов МСП, срок деятельности которых не превышает год) и 2 % годовых (субъектам МСП осу</w:t>
      </w:r>
      <w:r>
        <w:rPr>
          <w:rStyle w:val="Bodytext2Georgia8pt"/>
          <w:rFonts w:cs="Times New Roman"/>
          <w:sz w:val="19"/>
          <w:szCs w:val="19"/>
        </w:rPr>
        <w:t>ще</w:t>
      </w:r>
      <w:r>
        <w:rPr>
          <w:sz w:val="19"/>
          <w:szCs w:val="19"/>
        </w:rPr>
        <w:t>ствляющим свою деятельность на территории моногородов Тверской области).</w:t>
      </w:r>
    </w:p>
    <w:p>
      <w:pPr>
        <w:pStyle w:val="Bodytext21"/>
        <w:shd w:val="clear" w:color="auto" w:fill="auto"/>
        <w:spacing w:before="0" w:after="0"/>
        <w:ind w:left="284" w:firstLine="460"/>
        <w:rPr>
          <w:sz w:val="19"/>
          <w:szCs w:val="19"/>
        </w:rPr>
      </w:pPr>
      <w:r>
        <w:rPr>
          <w:sz w:val="19"/>
          <w:szCs w:val="19"/>
        </w:rPr>
        <w:t>2) предоставление поручительств.</w:t>
      </w:r>
    </w:p>
    <w:p>
      <w:pPr>
        <w:pStyle w:val="Bodytext21"/>
        <w:shd w:val="clear" w:color="auto" w:fill="auto"/>
        <w:tabs>
          <w:tab w:val="left" w:pos="5019" w:leader="none"/>
        </w:tabs>
        <w:spacing w:before="0" w:after="0"/>
        <w:ind w:left="284" w:firstLine="460"/>
        <w:rPr>
          <w:sz w:val="19"/>
          <w:szCs w:val="19"/>
        </w:rPr>
      </w:pPr>
      <w:r>
        <w:rPr>
          <w:sz w:val="19"/>
          <w:szCs w:val="19"/>
        </w:rPr>
        <w:t>Размер поручительства Фонда составляет:</w:t>
        <w:tab/>
      </w:r>
      <w:r>
        <w:rPr>
          <w:sz w:val="19"/>
          <w:szCs w:val="19"/>
          <w:vertAlign w:val="subscript"/>
        </w:rPr>
        <w:t>?</w:t>
      </w:r>
    </w:p>
    <w:p>
      <w:pPr>
        <w:pStyle w:val="Bodytext21"/>
        <w:shd w:val="clear" w:color="auto" w:fill="auto"/>
        <w:spacing w:before="0" w:after="0"/>
        <w:ind w:left="284" w:firstLine="460"/>
        <w:rPr>
          <w:sz w:val="19"/>
          <w:szCs w:val="19"/>
        </w:rPr>
      </w:pPr>
      <w:r>
        <w:rPr>
          <w:sz w:val="19"/>
          <w:szCs w:val="19"/>
        </w:rPr>
        <w:t>- до 70% от суммы кредита для производственных, научно-технических, инновационных предприятий, при этом максимальный размер поручительства в отношении одного заемщика не может превышать 25 млн. рублей;</w:t>
      </w:r>
    </w:p>
    <w:p>
      <w:pPr>
        <w:pStyle w:val="Bodytext21"/>
        <w:shd w:val="clear" w:color="auto" w:fill="auto"/>
        <w:spacing w:before="0" w:after="0"/>
        <w:ind w:left="284" w:firstLine="460"/>
        <w:rPr>
          <w:sz w:val="19"/>
          <w:szCs w:val="19"/>
        </w:rPr>
      </w:pPr>
      <w:r>
        <w:rPr>
          <w:sz w:val="19"/>
          <w:szCs w:val="19"/>
        </w:rPr>
        <w:t>- до 50% от суммы кредита для предприятий сферы услуг, торговых предприятий и предприятий прочих видов деятельности, при этом максимальный размер поручительства в отношении одного заемщика не может превышать 20 млн. рублей.</w:t>
      </w:r>
    </w:p>
    <w:p>
      <w:pPr>
        <w:pStyle w:val="Bodytext21"/>
        <w:shd w:val="clear" w:color="auto" w:fill="auto"/>
        <w:spacing w:before="0" w:after="0"/>
        <w:ind w:left="284" w:firstLine="460"/>
        <w:rPr>
          <w:sz w:val="19"/>
          <w:szCs w:val="19"/>
        </w:rPr>
      </w:pPr>
      <w:r>
        <w:rPr>
          <w:sz w:val="19"/>
          <w:szCs w:val="19"/>
        </w:rPr>
        <w:t>Часть кредита, не обеспеченная поручительством Фонда, должна быть обеспечена залогом имущества заемщика.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 xml:space="preserve">Подробнее с программами Фонда можно ознакомиться на сайте </w:t>
      </w:r>
      <w:r>
        <w:rPr>
          <w:rFonts w:cs="Times New Roman"/>
          <w:szCs w:val="19"/>
          <w:lang w:val="en-US"/>
        </w:rPr>
        <w:t>http</w:t>
      </w:r>
      <w:r>
        <w:rPr>
          <w:rFonts w:cs="Times New Roman"/>
          <w:szCs w:val="19"/>
        </w:rPr>
        <w:t>://</w:t>
      </w:r>
      <w:r>
        <w:rPr>
          <w:rFonts w:cs="Times New Roman"/>
          <w:szCs w:val="19"/>
          <w:lang w:val="en-US"/>
        </w:rPr>
        <w:t>fondtver</w:t>
      </w:r>
      <w:r>
        <w:rPr>
          <w:rFonts w:cs="Times New Roman"/>
          <w:szCs w:val="19"/>
        </w:rPr>
        <w:t>.</w:t>
      </w:r>
      <w:r>
        <w:rPr>
          <w:rFonts w:cs="Times New Roman"/>
          <w:szCs w:val="19"/>
          <w:lang w:val="en-US"/>
        </w:rPr>
        <w:t>ru</w:t>
      </w:r>
      <w:r>
        <w:rPr>
          <w:rFonts w:cs="Times New Roman"/>
          <w:szCs w:val="19"/>
        </w:rPr>
        <w:t>/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>2. Программа стимулирования кредитования субъектов МСП (далее - Программа) реализовывается АО «Корпорация «МСП» совместно с Минэкономразвития России и Банком России.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>Программа направлена на расширение доступного кредитования субъектов МСП во всех субъектах Российской Федерации, реализующих проекты в приоритетных отраслях, которая фиксирует процентную ставку по кредитам в сумме не менее 3 млн. рублей для предприятий, реализующих проекты в приоритетных отраслях экономики, на уровне до 9,6% годовых, в иных отраслях - до 10,б% годовых. Размер кредита: от 3 млн рублей до 1 млрд рублей.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 xml:space="preserve">Срок льготного фондирования до 3 лет. 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>Подробнее с программой можно ознакомиться на сайте АО «Корпорация «МСП»</w:t>
      </w:r>
      <w:r>
        <w:rPr>
          <w:rFonts w:cs="Times New Roman"/>
          <w:szCs w:val="19"/>
          <w:vertAlign w:val="superscript"/>
        </w:rPr>
        <w:t xml:space="preserve"> </w:t>
      </w:r>
      <w:r>
        <w:rPr>
          <w:rFonts w:cs="Times New Roman"/>
          <w:szCs w:val="19"/>
        </w:rPr>
        <w:t>в разделе Банкам и кредитным организациям/Программа стимулирования кредитования субъектов МСП.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>3. Программа льготного кредитования  для субъектов МСП (далее - Программа 8,5).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>Программа 8,5 предусматривает предоставление кредитов по льготной ставке не более 8,5% годовых предприятиям самых различных отраслей, в том числе сельское хозяйство и обрабатывающее производство.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>Малый и средний бизнес может, получить льготный кредит на инвестиционные цели, до 1 млрд. рублей на срок до 10 лет и на пополнение оборотных средств - до 100 млн. на срок до 3 лет.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>Требования, к заемщику установлены в пункте 20 «Правил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2019 - 2024 годах субъектам малого и среднего предпринимательства по льготной ставке, утвержденных постановлением Правительства Российской Федерации от 30 декабря 2018 г. № 1764.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>Подробнее с Программой 8,5 можно ознакомиться на сайте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>Минэкономразвития России в разделе Деятельность/Направления/Малый и средний бизнес.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>Министерство просит обеспечить опубликование вышеуказанной информации о действующих мерах государственной поддержки официальном сайте возглавляемого Вами муниципального образования в сети Интернет и обеспечить доведение информации до субъектов МСП.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>В связи с вышеизложенным, Министерство просит: направить ответ о проделанной работе по информированию субъектов МСП в срок до 6 мая 2019 года;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>ежеквартально в срок до 5 числа месяца, следующего за отчетным периодом, направлять информацию о субъектах МСП, заинтересованных в получении указанных видах поддержки по электронной почте:</w:t>
      </w:r>
      <w:r>
        <w:rPr>
          <w:rFonts w:cs="Times New Roman"/>
          <w:szCs w:val="19"/>
          <w:lang w:val="en-US"/>
        </w:rPr>
        <w:t>komek</w:t>
      </w:r>
      <w:r>
        <w:rPr>
          <w:rFonts w:cs="Times New Roman"/>
          <w:szCs w:val="19"/>
        </w:rPr>
        <w:t>@</w:t>
      </w:r>
      <w:r>
        <w:rPr>
          <w:rFonts w:cs="Times New Roman"/>
          <w:szCs w:val="19"/>
          <w:lang w:val="en-US"/>
        </w:rPr>
        <w:t>yandex</w:t>
      </w:r>
      <w:r>
        <w:rPr>
          <w:rFonts w:cs="Times New Roman"/>
          <w:szCs w:val="19"/>
        </w:rPr>
        <w:t>.</w:t>
      </w:r>
      <w:r>
        <w:rPr>
          <w:rFonts w:cs="Times New Roman"/>
          <w:szCs w:val="19"/>
          <w:lang w:val="en-US"/>
        </w:rPr>
        <w:t>ru</w:t>
      </w:r>
      <w:r>
        <w:rPr>
          <w:rFonts w:cs="Times New Roman"/>
          <w:szCs w:val="19"/>
        </w:rPr>
        <w:t>.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 xml:space="preserve">Для получения консультаций об указанных мерах финансовой поддержки необходимо обратиться в Фонд (г.Тверь, б-р Радищева, д. 316, 2 этаж, контактный телефон: 8 (4822) 78-78-58, сайт </w:t>
      </w:r>
      <w:r>
        <w:rPr>
          <w:rFonts w:cs="Times New Roman"/>
          <w:szCs w:val="19"/>
          <w:lang w:val="en-US"/>
        </w:rPr>
        <w:t>www</w:t>
      </w:r>
      <w:r>
        <w:rPr>
          <w:rFonts w:cs="Times New Roman"/>
          <w:szCs w:val="19"/>
        </w:rPr>
        <w:t>.</w:t>
      </w:r>
      <w:r>
        <w:rPr>
          <w:rFonts w:cs="Times New Roman"/>
          <w:szCs w:val="19"/>
          <w:lang w:val="en-US"/>
        </w:rPr>
        <w:t>fondtver</w:t>
      </w:r>
      <w:r>
        <w:rPr>
          <w:rFonts w:cs="Times New Roman"/>
          <w:szCs w:val="19"/>
        </w:rPr>
        <w:t>.</w:t>
      </w:r>
      <w:r>
        <w:rPr>
          <w:rFonts w:cs="Times New Roman"/>
          <w:szCs w:val="19"/>
          <w:lang w:val="en-US"/>
        </w:rPr>
        <w:t>ru</w:t>
      </w:r>
      <w:r>
        <w:rPr>
          <w:rFonts w:cs="Times New Roman"/>
          <w:szCs w:val="19"/>
        </w:rPr>
        <w:t>).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>Контактные лица в Фонде содействия кредитованию малого и среднего предпринимательства Тверской области: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>- Гусев Никита Андреевич, генеральной директор Фонда содействия кредитованию малого и среднего предпринимательства Тверской области, контактные телефоны: 8 (4822) 78-78-58, 8 (920) 195-60-21, е-</w:t>
      </w:r>
      <w:r>
        <w:rPr>
          <w:rFonts w:cs="Times New Roman"/>
          <w:szCs w:val="19"/>
          <w:lang w:val="en-US"/>
        </w:rPr>
        <w:t>mail</w:t>
      </w:r>
      <w:r>
        <w:rPr>
          <w:rFonts w:cs="Times New Roman"/>
          <w:szCs w:val="19"/>
        </w:rPr>
        <w:t xml:space="preserve">: </w:t>
      </w:r>
      <w:r>
        <w:rPr>
          <w:rFonts w:cs="Times New Roman"/>
          <w:szCs w:val="19"/>
          <w:lang w:val="en-US"/>
        </w:rPr>
        <w:t>cpp</w:t>
      </w:r>
      <w:r>
        <w:rPr>
          <w:rFonts w:cs="Times New Roman"/>
          <w:szCs w:val="19"/>
        </w:rPr>
        <w:t>@</w:t>
      </w:r>
      <w:r>
        <w:rPr>
          <w:rFonts w:cs="Times New Roman"/>
          <w:szCs w:val="19"/>
          <w:lang w:val="en-US"/>
        </w:rPr>
        <w:t>fond</w:t>
      </w:r>
      <w:r>
        <w:rPr>
          <w:rFonts w:cs="Times New Roman"/>
          <w:szCs w:val="19"/>
        </w:rPr>
        <w:t>.</w:t>
      </w:r>
      <w:r>
        <w:rPr>
          <w:rFonts w:cs="Times New Roman"/>
          <w:szCs w:val="19"/>
          <w:lang w:val="en-US"/>
        </w:rPr>
        <w:t>tver</w:t>
      </w:r>
      <w:r>
        <w:rPr>
          <w:rFonts w:cs="Times New Roman"/>
          <w:szCs w:val="19"/>
        </w:rPr>
        <w:t>.</w:t>
      </w:r>
      <w:r>
        <w:rPr>
          <w:rFonts w:cs="Times New Roman"/>
          <w:szCs w:val="19"/>
          <w:lang w:val="en-US"/>
        </w:rPr>
        <w:t>ru</w:t>
      </w:r>
      <w:r>
        <w:rPr>
          <w:rFonts w:cs="Times New Roman"/>
          <w:szCs w:val="19"/>
        </w:rPr>
        <w:t>;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>- Салюков Ян Александрович, первый заместитель генерального директора Фонда содействия кредитованию малого и среднего предпринимательства Тверской области, контактные телефоны:8 (4822) 78- 78-58,8 (980) 621-73-03,е-</w:t>
      </w:r>
      <w:r>
        <w:rPr>
          <w:rFonts w:cs="Times New Roman"/>
          <w:szCs w:val="19"/>
          <w:lang w:val="en-US"/>
        </w:rPr>
        <w:t>mail</w:t>
      </w:r>
      <w:r>
        <w:rPr>
          <w:rFonts w:cs="Times New Roman"/>
          <w:szCs w:val="19"/>
        </w:rPr>
        <w:t xml:space="preserve">: </w:t>
      </w:r>
      <w:r>
        <w:rPr>
          <w:rFonts w:cs="Times New Roman"/>
          <w:szCs w:val="19"/>
          <w:lang w:val="en-US"/>
        </w:rPr>
        <w:t>salyukov</w:t>
      </w:r>
      <w:r>
        <w:rPr>
          <w:rFonts w:cs="Times New Roman"/>
          <w:szCs w:val="19"/>
        </w:rPr>
        <w:t>_</w:t>
      </w:r>
      <w:r>
        <w:rPr>
          <w:rFonts w:cs="Times New Roman"/>
          <w:szCs w:val="19"/>
          <w:lang w:val="en-US"/>
        </w:rPr>
        <w:t>y</w:t>
      </w:r>
      <w:r>
        <w:rPr>
          <w:rFonts w:cs="Times New Roman"/>
          <w:szCs w:val="19"/>
        </w:rPr>
        <w:t>@</w:t>
      </w:r>
      <w:r>
        <w:rPr>
          <w:rFonts w:cs="Times New Roman"/>
          <w:szCs w:val="19"/>
          <w:lang w:val="en-US"/>
        </w:rPr>
        <w:t>fondtver</w:t>
      </w:r>
      <w:r>
        <w:rPr>
          <w:rFonts w:cs="Times New Roman"/>
          <w:szCs w:val="19"/>
        </w:rPr>
        <w:t>.</w:t>
      </w:r>
      <w:r>
        <w:rPr>
          <w:rFonts w:cs="Times New Roman"/>
          <w:szCs w:val="19"/>
          <w:lang w:val="en-US"/>
        </w:rPr>
        <w:t>ru</w:t>
      </w:r>
      <w:r>
        <w:rPr>
          <w:rFonts w:cs="Times New Roman"/>
          <w:szCs w:val="19"/>
        </w:rPr>
        <w:t>.</w:t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</w:r>
    </w:p>
    <w:p>
      <w:pPr>
        <w:pStyle w:val="NoSpacing"/>
        <w:ind w:left="284" w:firstLine="460"/>
        <w:rPr>
          <w:rFonts w:cs="Times New Roman"/>
          <w:szCs w:val="19"/>
        </w:rPr>
      </w:pPr>
      <w:r>
        <w:rPr>
          <w:rFonts w:cs="Times New Roman"/>
          <w:szCs w:val="19"/>
        </w:rPr>
        <w:tab/>
      </w:r>
    </w:p>
    <w:p>
      <w:pPr>
        <w:pStyle w:val="Bodytext21"/>
        <w:shd w:val="clear" w:color="auto" w:fill="auto"/>
        <w:spacing w:before="0" w:after="0"/>
        <w:ind w:left="180" w:firstLine="46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21"/>
        <w:shd w:val="clear" w:color="auto" w:fill="auto"/>
        <w:spacing w:before="0" w:after="0"/>
        <w:ind w:left="180" w:firstLine="46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21"/>
        <w:shd w:val="clear" w:color="auto" w:fill="auto"/>
        <w:spacing w:before="0" w:after="0"/>
        <w:ind w:left="180" w:firstLine="460"/>
        <w:rPr/>
      </w:pPr>
      <w:r>
        <w:rPr/>
      </w:r>
    </w:p>
    <w:sectPr>
      <w:type w:val="nextPage"/>
      <w:pgSz w:w="6591" w:h="9640"/>
      <w:pgMar w:left="53" w:right="242" w:header="0" w:top="167" w:footer="0" w:bottom="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Georgi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210"/>
  <w:defaultTabStop w:val="708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04a2"/>
    <w:pPr>
      <w:widowControl/>
      <w:bidi w:val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sid w:val="007104a2"/>
    <w:rPr>
      <w:color w:val="0066CC"/>
      <w:u w:val="single"/>
    </w:rPr>
  </w:style>
  <w:style w:type="character" w:styleId="Bodytext4Exact" w:customStyle="1">
    <w:name w:val="Body text (4) Exact"/>
    <w:basedOn w:val="DefaultParagraphFont"/>
    <w:link w:val="Bodytext4"/>
    <w:qFormat/>
    <w:rsid w:val="007104a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5"/>
      <w:szCs w:val="15"/>
      <w:u w:val="none"/>
    </w:rPr>
  </w:style>
  <w:style w:type="character" w:styleId="Bodytext485ptExact" w:customStyle="1">
    <w:name w:val="Body text (4) + 8.5 pt Exact"/>
    <w:basedOn w:val="Bodytext4Exact"/>
    <w:qFormat/>
    <w:rsid w:val="007104a2"/>
    <w:rPr>
      <w:color w:val="000000"/>
      <w:spacing w:val="0"/>
      <w:w w:val="100"/>
      <w:sz w:val="17"/>
      <w:szCs w:val="17"/>
      <w:lang w:val="ru-RU" w:eastAsia="ru-RU" w:bidi="ru-RU"/>
    </w:rPr>
  </w:style>
  <w:style w:type="character" w:styleId="Bodytext46ptExact" w:customStyle="1">
    <w:name w:val="Body text (4) + 6 pt Exact"/>
    <w:basedOn w:val="Bodytext4Exact"/>
    <w:qFormat/>
    <w:rsid w:val="007104a2"/>
    <w:rPr>
      <w:color w:val="000000"/>
      <w:spacing w:val="0"/>
      <w:w w:val="100"/>
      <w:sz w:val="12"/>
      <w:szCs w:val="12"/>
      <w:u w:val="single"/>
      <w:lang w:val="ru-RU" w:eastAsia="ru-RU" w:bidi="ru-RU"/>
    </w:rPr>
  </w:style>
  <w:style w:type="character" w:styleId="Bodytext465ptExact" w:customStyle="1">
    <w:name w:val="Body text (4) + 6.5 pt Exact"/>
    <w:basedOn w:val="Bodytext4Exact"/>
    <w:qFormat/>
    <w:rsid w:val="007104a2"/>
    <w:rPr>
      <w:color w:val="000000"/>
      <w:spacing w:val="0"/>
      <w:w w:val="100"/>
      <w:sz w:val="13"/>
      <w:szCs w:val="13"/>
      <w:u w:val="single"/>
      <w:lang w:val="ru-RU" w:eastAsia="ru-RU" w:bidi="ru-RU"/>
    </w:rPr>
  </w:style>
  <w:style w:type="character" w:styleId="Bodytext4Spacing3ptExact" w:customStyle="1">
    <w:name w:val="Body text (4) + Spacing 3 pt Exact"/>
    <w:basedOn w:val="Bodytext4Exact"/>
    <w:qFormat/>
    <w:rsid w:val="007104a2"/>
    <w:rPr>
      <w:color w:val="000000"/>
      <w:spacing w:val="70"/>
      <w:w w:val="100"/>
      <w:lang w:val="ru-RU" w:eastAsia="ru-RU" w:bidi="ru-RU"/>
    </w:rPr>
  </w:style>
  <w:style w:type="character" w:styleId="Bodytext3" w:customStyle="1">
    <w:name w:val="Body text (3)_"/>
    <w:basedOn w:val="DefaultParagraphFont"/>
    <w:link w:val="Bodytext30"/>
    <w:qFormat/>
    <w:rsid w:val="007104a2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Heading1" w:customStyle="1">
    <w:name w:val="Heading #1_"/>
    <w:basedOn w:val="DefaultParagraphFont"/>
    <w:link w:val="Heading10"/>
    <w:qFormat/>
    <w:rsid w:val="007104a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-10"/>
      <w:sz w:val="21"/>
      <w:szCs w:val="21"/>
      <w:u w:val="none"/>
    </w:rPr>
  </w:style>
  <w:style w:type="character" w:styleId="Heading112ptBoldItalicSpacing0pt" w:customStyle="1">
    <w:name w:val="Heading #1 + 12 pt;Bold;Italic;Spacing 0 pt"/>
    <w:basedOn w:val="Heading1"/>
    <w:qFormat/>
    <w:rsid w:val="007104a2"/>
    <w:rPr>
      <w:b/>
      <w:bCs/>
      <w:i/>
      <w:iCs/>
      <w:color w:val="000000"/>
      <w:spacing w:val="0"/>
      <w:w w:val="100"/>
      <w:sz w:val="24"/>
      <w:szCs w:val="24"/>
      <w:lang w:val="ru-RU" w:eastAsia="ru-RU" w:bidi="ru-RU"/>
    </w:rPr>
  </w:style>
  <w:style w:type="character" w:styleId="Bodytext2" w:customStyle="1">
    <w:name w:val="Body text (2)_"/>
    <w:basedOn w:val="DefaultParagraphFont"/>
    <w:link w:val="Bodytext20"/>
    <w:qFormat/>
    <w:rsid w:val="007104a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Bodytext2Georgia8pt" w:customStyle="1">
    <w:name w:val="Body text (2) + Georgia;8 pt"/>
    <w:basedOn w:val="Bodytext2"/>
    <w:qFormat/>
    <w:rsid w:val="007104a2"/>
    <w:rPr>
      <w:rFonts w:ascii="Georgia" w:hAnsi="Georgia" w:eastAsia="Georgia" w:cs="Georgia"/>
      <w:color w:val="000000"/>
      <w:spacing w:val="0"/>
      <w:w w:val="100"/>
      <w:sz w:val="16"/>
      <w:szCs w:val="16"/>
      <w:lang w:val="ru-RU" w:eastAsia="ru-RU" w:bidi="ru-RU"/>
    </w:rPr>
  </w:style>
  <w:style w:type="character" w:styleId="Bodytext24ptItalic" w:customStyle="1">
    <w:name w:val="Body text (2) + 4 pt;Italic"/>
    <w:basedOn w:val="Bodytext2"/>
    <w:qFormat/>
    <w:rsid w:val="007104a2"/>
    <w:rPr>
      <w:i/>
      <w:iCs/>
      <w:color w:val="000000"/>
      <w:spacing w:val="0"/>
      <w:w w:val="100"/>
      <w:sz w:val="8"/>
      <w:szCs w:val="8"/>
      <w:lang w:val="ru-RU" w:eastAsia="ru-RU" w:bidi="ru-RU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odytext4" w:customStyle="1">
    <w:name w:val="Body text (4)"/>
    <w:basedOn w:val="Normal"/>
    <w:link w:val="Bodytext4Exact"/>
    <w:qFormat/>
    <w:rsid w:val="007104a2"/>
    <w:pPr>
      <w:shd w:val="clear" w:color="auto" w:fill="FFFFFF"/>
      <w:spacing w:lineRule="exact" w:line="185"/>
    </w:pPr>
    <w:rPr>
      <w:rFonts w:ascii="Times New Roman" w:hAnsi="Times New Roman" w:eastAsia="Times New Roman" w:cs="Times New Roman"/>
      <w:sz w:val="15"/>
      <w:szCs w:val="15"/>
    </w:rPr>
  </w:style>
  <w:style w:type="paragraph" w:styleId="Bodytext31" w:customStyle="1">
    <w:name w:val="Body text (3)"/>
    <w:basedOn w:val="Normal"/>
    <w:link w:val="Bodytext3"/>
    <w:qFormat/>
    <w:rsid w:val="007104a2"/>
    <w:pPr>
      <w:shd w:val="clear" w:color="auto" w:fill="FFFFFF"/>
      <w:spacing w:lineRule="exact" w:line="214" w:before="0" w:after="18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11" w:customStyle="1">
    <w:name w:val="Heading #1"/>
    <w:basedOn w:val="Normal"/>
    <w:link w:val="Heading1"/>
    <w:qFormat/>
    <w:rsid w:val="007104a2"/>
    <w:pPr>
      <w:shd w:val="clear" w:color="auto" w:fill="FFFFFF"/>
      <w:spacing w:lineRule="auto" w:before="420" w:after="540"/>
      <w:jc w:val="both"/>
      <w:outlineLvl w:val="0"/>
    </w:pPr>
    <w:rPr>
      <w:rFonts w:ascii="Times New Roman" w:hAnsi="Times New Roman" w:eastAsia="Times New Roman" w:cs="Times New Roman"/>
      <w:spacing w:val="-10"/>
      <w:sz w:val="21"/>
      <w:szCs w:val="21"/>
    </w:rPr>
  </w:style>
  <w:style w:type="paragraph" w:styleId="Bodytext21" w:customStyle="1">
    <w:name w:val="Body text (2)"/>
    <w:basedOn w:val="Normal"/>
    <w:link w:val="Bodytext2"/>
    <w:qFormat/>
    <w:rsid w:val="007104a2"/>
    <w:pPr>
      <w:shd w:val="clear" w:color="auto" w:fill="FFFFFF"/>
      <w:spacing w:lineRule="exact" w:line="202" w:before="540" w:after="0"/>
      <w:jc w:val="both"/>
    </w:pPr>
    <w:rPr>
      <w:rFonts w:ascii="Times New Roman" w:hAnsi="Times New Roman" w:eastAsia="Times New Roman" w:cs="Times New Roman"/>
      <w:sz w:val="17"/>
      <w:szCs w:val="17"/>
    </w:rPr>
  </w:style>
  <w:style w:type="paragraph" w:styleId="NoSpacing">
    <w:name w:val="No Spacing"/>
    <w:uiPriority w:val="1"/>
    <w:qFormat/>
    <w:rsid w:val="00cd43a9"/>
    <w:pPr>
      <w:widowControl/>
      <w:bidi w:val="0"/>
      <w:jc w:val="both"/>
    </w:pPr>
    <w:rPr>
      <w:rFonts w:ascii="Times New Roman" w:hAnsi="Times New Roman" w:eastAsia="Arial Unicode MS" w:cs="Arial Unicode MS"/>
      <w:color w:val="000000"/>
      <w:kern w:val="0"/>
      <w:sz w:val="19"/>
      <w:szCs w:val="24"/>
      <w:lang w:val="ru-RU" w:eastAsia="ru-RU" w:bidi="ru-RU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LibreOffice/5.4.1.2$Windows_x86 LibreOffice_project/ea7cb86e6eeb2bf3a5af73a8f7777ac570321527</Application>
  <Pages>3</Pages>
  <Words>664</Words>
  <Characters>4607</Characters>
  <CharactersWithSpaces>5247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2019-04-23T13:56:00Z</dcterms:created>
  <dc:creator>Специалист</dc:creator>
  <dc:description/>
  <dc:language>ru-RU</dc:language>
  <cp:lastModifiedBy/>
  <dcterms:modified xsi:type="dcterms:W3CDTF">2019-04-26T14:47:20Z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